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88D" w:rsidRDefault="00E4488D" w:rsidP="00E4488D">
      <w:pPr>
        <w:jc w:val="center"/>
        <w:rPr>
          <w:rFonts w:ascii="Cambria" w:hAnsi="Cambria"/>
        </w:rPr>
      </w:pPr>
      <w:r>
        <w:rPr>
          <w:rFonts w:ascii="Cambria" w:hAnsi="Cambria"/>
          <w:noProof/>
          <w:lang w:eastAsia="it-IT"/>
        </w:rPr>
        <w:drawing>
          <wp:inline distT="0" distB="0" distL="0" distR="0">
            <wp:extent cx="1743075" cy="2047875"/>
            <wp:effectExtent l="0" t="0" r="9525" b="9525"/>
            <wp:docPr id="2" name="Immagine 2" descr="pinarolo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pinarolop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88D" w:rsidRDefault="00E4488D" w:rsidP="00E4488D">
      <w:pPr>
        <w:jc w:val="center"/>
        <w:rPr>
          <w:rFonts w:ascii="Cambria" w:hAnsi="Cambria"/>
        </w:rPr>
      </w:pPr>
      <w:r>
        <w:rPr>
          <w:rFonts w:ascii="Cambria" w:hAnsi="Cambria"/>
        </w:rPr>
        <w:t>Comune di Pinarolo Po</w:t>
      </w:r>
    </w:p>
    <w:p w:rsidR="00492012" w:rsidRPr="007B7F56" w:rsidRDefault="00D04852" w:rsidP="00D04852">
      <w:pPr>
        <w:jc w:val="center"/>
        <w:rPr>
          <w:rFonts w:ascii="Cambria" w:hAnsi="Cambria"/>
          <w:b/>
          <w:sz w:val="28"/>
          <w:szCs w:val="28"/>
        </w:rPr>
      </w:pPr>
      <w:bookmarkStart w:id="0" w:name="_GoBack"/>
      <w:bookmarkEnd w:id="0"/>
      <w:r w:rsidRPr="007B7F56">
        <w:rPr>
          <w:rFonts w:ascii="Cambria" w:hAnsi="Cambria"/>
          <w:b/>
          <w:sz w:val="28"/>
          <w:szCs w:val="28"/>
        </w:rPr>
        <w:t>Registro dei Rischi</w:t>
      </w:r>
    </w:p>
    <w:tbl>
      <w:tblPr>
        <w:tblStyle w:val="Stile1"/>
        <w:tblW w:w="14734" w:type="dxa"/>
        <w:tblLayout w:type="fixed"/>
        <w:tblLook w:val="04A0" w:firstRow="1" w:lastRow="0" w:firstColumn="1" w:lastColumn="0" w:noHBand="0" w:noVBand="1"/>
      </w:tblPr>
      <w:tblGrid>
        <w:gridCol w:w="2133"/>
        <w:gridCol w:w="3104"/>
        <w:gridCol w:w="1134"/>
        <w:gridCol w:w="992"/>
        <w:gridCol w:w="1418"/>
        <w:gridCol w:w="5103"/>
        <w:gridCol w:w="850"/>
      </w:tblGrid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shd w:val="clear" w:color="auto" w:fill="D9D9D9" w:themeFill="background1" w:themeFillShade="D9"/>
          </w:tcPr>
          <w:p w:rsidR="00681460" w:rsidRPr="00681460" w:rsidRDefault="00681460" w:rsidP="000D770F">
            <w:pPr>
              <w:rPr>
                <w:rFonts w:ascii="Cambria" w:hAnsi="Cambria"/>
                <w:b/>
              </w:rPr>
            </w:pPr>
            <w:r w:rsidRPr="00681460">
              <w:rPr>
                <w:rFonts w:ascii="Cambria" w:hAnsi="Cambria"/>
                <w:b/>
              </w:rPr>
              <w:t xml:space="preserve">Procedimento </w:t>
            </w:r>
          </w:p>
        </w:tc>
        <w:tc>
          <w:tcPr>
            <w:tcW w:w="12541" w:type="dxa"/>
            <w:gridSpan w:val="6"/>
            <w:shd w:val="clear" w:color="auto" w:fill="D9D9D9" w:themeFill="background1" w:themeFillShade="D9"/>
          </w:tcPr>
          <w:p w:rsidR="00681460" w:rsidRPr="00681460" w:rsidRDefault="00333F23" w:rsidP="000D770F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Occupazione temporanea di suolo pubblico</w:t>
            </w:r>
          </w:p>
        </w:tc>
      </w:tr>
      <w:tr w:rsidR="00681460" w:rsidRPr="00681460" w:rsidTr="008677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Fase</w:t>
            </w:r>
          </w:p>
        </w:tc>
        <w:tc>
          <w:tcPr>
            <w:tcW w:w="3064" w:type="dxa"/>
            <w:vMerge w:val="restart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81460">
              <w:rPr>
                <w:rFonts w:ascii="Cambria" w:hAnsi="Cambria"/>
                <w:b/>
                <w:sz w:val="18"/>
                <w:szCs w:val="18"/>
              </w:rPr>
              <w:t>Descrizione rischio</w:t>
            </w:r>
          </w:p>
        </w:tc>
        <w:tc>
          <w:tcPr>
            <w:tcW w:w="3504" w:type="dxa"/>
            <w:gridSpan w:val="3"/>
            <w:shd w:val="clear" w:color="auto" w:fill="DEEAF6" w:themeFill="accent1" w:themeFillTint="33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Valutazione del rischio</w:t>
            </w:r>
          </w:p>
        </w:tc>
        <w:tc>
          <w:tcPr>
            <w:tcW w:w="5893" w:type="dxa"/>
            <w:gridSpan w:val="2"/>
            <w:shd w:val="clear" w:color="auto" w:fill="FFFF00"/>
            <w:vAlign w:val="center"/>
          </w:tcPr>
          <w:p w:rsidR="00681460" w:rsidRPr="00681460" w:rsidRDefault="00681460" w:rsidP="0068146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Misure di prevenzione</w:t>
            </w:r>
          </w:p>
        </w:tc>
      </w:tr>
      <w:tr w:rsidR="002D347A" w:rsidRPr="00681460" w:rsidTr="00F54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073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064" w:type="dxa"/>
            <w:vMerge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Probabilità</w:t>
            </w:r>
          </w:p>
        </w:tc>
        <w:tc>
          <w:tcPr>
            <w:tcW w:w="952" w:type="dxa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Impatto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681460" w:rsidRPr="00681460" w:rsidRDefault="00681460" w:rsidP="008677C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681460">
              <w:rPr>
                <w:rFonts w:ascii="Cambria" w:hAnsi="Cambria"/>
                <w:b/>
                <w:sz w:val="16"/>
                <w:szCs w:val="16"/>
              </w:rPr>
              <w:t>Ponderazione totale</w:t>
            </w:r>
          </w:p>
        </w:tc>
        <w:tc>
          <w:tcPr>
            <w:tcW w:w="5063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681460" w:rsidRPr="00681460" w:rsidRDefault="00681460" w:rsidP="000D770F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F12DD4" w:rsidRPr="00681460" w:rsidTr="00F54D3A">
        <w:tc>
          <w:tcPr>
            <w:tcW w:w="2073" w:type="dxa"/>
          </w:tcPr>
          <w:p w:rsidR="00F12DD4" w:rsidRPr="00F84365" w:rsidRDefault="00F84365" w:rsidP="00F84365">
            <w:pPr>
              <w:rPr>
                <w:rFonts w:ascii="Cambria" w:hAnsi="Cambria"/>
                <w:w w:val="84"/>
                <w:sz w:val="20"/>
                <w:szCs w:val="20"/>
              </w:rPr>
            </w:pPr>
            <w:r w:rsidRPr="00F84365">
              <w:rPr>
                <w:rFonts w:ascii="Cambria" w:hAnsi="Cambria"/>
                <w:color w:val="000000"/>
                <w:w w:val="84"/>
                <w:sz w:val="20"/>
                <w:szCs w:val="20"/>
                <w:shd w:val="clear" w:color="auto" w:fill="FFFFFF"/>
              </w:rPr>
              <w:t xml:space="preserve">Ricevimento istanza, protocollazione, consegna all`utente ricevuta di presentazione </w:t>
            </w:r>
          </w:p>
        </w:tc>
        <w:tc>
          <w:tcPr>
            <w:tcW w:w="3064" w:type="dxa"/>
          </w:tcPr>
          <w:p w:rsidR="00F12DD4" w:rsidRPr="001C4D0C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F12DD4" w:rsidRPr="001C4D0C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790" w:type="dxa"/>
          </w:tcPr>
          <w:p w:rsidR="00F12DD4" w:rsidRPr="00681460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F12DD4" w:rsidRPr="00681460" w:rsidTr="00F84365">
        <w:trPr>
          <w:trHeight w:val="254"/>
        </w:trPr>
        <w:tc>
          <w:tcPr>
            <w:tcW w:w="2073" w:type="dxa"/>
          </w:tcPr>
          <w:p w:rsidR="00F12DD4" w:rsidRPr="00F84365" w:rsidRDefault="0016102F" w:rsidP="00F84365">
            <w:pPr>
              <w:rPr>
                <w:rFonts w:ascii="Cambria" w:hAnsi="Cambria"/>
                <w:w w:val="84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w w:val="84"/>
                <w:sz w:val="20"/>
                <w:szCs w:val="20"/>
                <w:shd w:val="clear" w:color="auto" w:fill="FFFFFF"/>
              </w:rPr>
              <w:t>A</w:t>
            </w:r>
            <w:r w:rsidR="00F84365" w:rsidRPr="00F84365">
              <w:rPr>
                <w:rFonts w:ascii="Cambria" w:hAnsi="Cambria"/>
                <w:color w:val="000000"/>
                <w:w w:val="84"/>
                <w:sz w:val="20"/>
                <w:szCs w:val="20"/>
                <w:shd w:val="clear" w:color="auto" w:fill="FFFFFF"/>
              </w:rPr>
              <w:t>vviso di pagamento</w:t>
            </w:r>
          </w:p>
        </w:tc>
        <w:tc>
          <w:tcPr>
            <w:tcW w:w="3064" w:type="dxa"/>
          </w:tcPr>
          <w:p w:rsidR="00F12DD4" w:rsidRPr="001C4D0C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F12DD4" w:rsidRPr="00EB10AE" w:rsidRDefault="00F12DD4" w:rsidP="00F12DD4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F12DD4" w:rsidRPr="00681460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F12DD4" w:rsidRPr="00681460" w:rsidTr="00F54D3A">
        <w:tc>
          <w:tcPr>
            <w:tcW w:w="2073" w:type="dxa"/>
          </w:tcPr>
          <w:p w:rsidR="00F12DD4" w:rsidRPr="00F84365" w:rsidRDefault="0016102F" w:rsidP="00F12DD4">
            <w:pPr>
              <w:rPr>
                <w:rFonts w:ascii="Cambria" w:hAnsi="Cambria"/>
                <w:w w:val="84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w w:val="84"/>
                <w:sz w:val="20"/>
                <w:szCs w:val="20"/>
                <w:shd w:val="clear" w:color="auto" w:fill="FFFFFF"/>
              </w:rPr>
              <w:t>I</w:t>
            </w:r>
            <w:r w:rsidR="00F84365" w:rsidRPr="00F84365">
              <w:rPr>
                <w:rFonts w:ascii="Cambria" w:hAnsi="Cambria"/>
                <w:color w:val="000000"/>
                <w:w w:val="84"/>
                <w:sz w:val="20"/>
                <w:szCs w:val="20"/>
                <w:shd w:val="clear" w:color="auto" w:fill="FFFFFF"/>
              </w:rPr>
              <w:t>nvio e-mail agli uffici tecnici - con allegata scansione dell`istanza - per i pareri di competenza</w:t>
            </w:r>
          </w:p>
        </w:tc>
        <w:tc>
          <w:tcPr>
            <w:tcW w:w="3064" w:type="dxa"/>
          </w:tcPr>
          <w:p w:rsidR="00F12DD4" w:rsidRPr="001C4D0C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Pr="00681460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F12DD4" w:rsidRPr="00EB10AE" w:rsidRDefault="00F12DD4" w:rsidP="00F12DD4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F12DD4" w:rsidRPr="00681460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F12DD4" w:rsidRPr="00681460" w:rsidTr="00F54D3A">
        <w:tc>
          <w:tcPr>
            <w:tcW w:w="2073" w:type="dxa"/>
          </w:tcPr>
          <w:p w:rsidR="00F12DD4" w:rsidRPr="00F84365" w:rsidRDefault="0016102F" w:rsidP="00F12DD4">
            <w:pPr>
              <w:rPr>
                <w:rFonts w:ascii="Cambria" w:hAnsi="Cambria"/>
                <w:w w:val="84"/>
                <w:sz w:val="20"/>
                <w:szCs w:val="20"/>
              </w:rPr>
            </w:pPr>
            <w:r>
              <w:rPr>
                <w:rFonts w:ascii="Cambria" w:hAnsi="Cambria"/>
                <w:w w:val="84"/>
                <w:sz w:val="20"/>
                <w:szCs w:val="20"/>
              </w:rPr>
              <w:t>A</w:t>
            </w:r>
            <w:r w:rsidR="00F84365" w:rsidRPr="00F84365">
              <w:rPr>
                <w:rFonts w:ascii="Cambria" w:hAnsi="Cambria"/>
                <w:w w:val="84"/>
                <w:sz w:val="20"/>
                <w:szCs w:val="20"/>
              </w:rPr>
              <w:t>cquisizione pareri di competenza</w:t>
            </w:r>
          </w:p>
        </w:tc>
        <w:tc>
          <w:tcPr>
            <w:tcW w:w="3064" w:type="dxa"/>
          </w:tcPr>
          <w:p w:rsidR="00F12DD4" w:rsidRPr="00681460" w:rsidRDefault="0016102F" w:rsidP="0016102F">
            <w:pPr>
              <w:rPr>
                <w:rFonts w:ascii="Cambria" w:hAnsi="Cambria"/>
                <w:b/>
                <w:sz w:val="18"/>
                <w:szCs w:val="18"/>
              </w:rPr>
            </w:pPr>
            <w:r w:rsidRPr="0016102F">
              <w:rPr>
                <w:rFonts w:ascii="Cambria" w:hAnsi="Cambria"/>
                <w:color w:val="000000"/>
                <w:w w:val="84"/>
                <w:sz w:val="20"/>
                <w:szCs w:val="20"/>
                <w:shd w:val="clear" w:color="auto" w:fill="FFFFFF"/>
              </w:rPr>
              <w:t>E’ possibile che la formulazione dei pareri porti a conclusioni differenziate a seconda delle circostanze valutative.</w:t>
            </w:r>
          </w:p>
        </w:tc>
        <w:tc>
          <w:tcPr>
            <w:tcW w:w="1094" w:type="dxa"/>
            <w:vAlign w:val="center"/>
          </w:tcPr>
          <w:p w:rsidR="00F12DD4" w:rsidRPr="00681460" w:rsidRDefault="0016102F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952" w:type="dxa"/>
            <w:vAlign w:val="center"/>
          </w:tcPr>
          <w:p w:rsidR="00F12DD4" w:rsidRPr="00681460" w:rsidRDefault="0016102F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Pr="00681460" w:rsidRDefault="0016102F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12</w:t>
            </w:r>
          </w:p>
        </w:tc>
        <w:tc>
          <w:tcPr>
            <w:tcW w:w="5063" w:type="dxa"/>
          </w:tcPr>
          <w:p w:rsidR="00F12DD4" w:rsidRPr="00EB10AE" w:rsidRDefault="0016102F" w:rsidP="0016102F">
            <w:pPr>
              <w:jc w:val="both"/>
              <w:rPr>
                <w:rFonts w:ascii="Cambria" w:hAnsi="Cambria"/>
                <w:sz w:val="18"/>
                <w:szCs w:val="18"/>
              </w:rPr>
            </w:pPr>
            <w:r w:rsidRPr="0016102F">
              <w:rPr>
                <w:rFonts w:ascii="Cambria" w:hAnsi="Cambria"/>
                <w:color w:val="000000"/>
                <w:w w:val="84"/>
                <w:sz w:val="20"/>
                <w:szCs w:val="20"/>
                <w:shd w:val="clear" w:color="auto" w:fill="FFFFFF"/>
              </w:rPr>
              <w:t>E’ necessario che venga definita una check-list (in sede di regolamento o in fase successiva) che vincoli il processo decisionale in merito.</w:t>
            </w:r>
          </w:p>
        </w:tc>
        <w:tc>
          <w:tcPr>
            <w:tcW w:w="790" w:type="dxa"/>
          </w:tcPr>
          <w:p w:rsidR="00F12DD4" w:rsidRPr="00681460" w:rsidRDefault="0016102F" w:rsidP="00F12DD4">
            <w:pPr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Org.</w:t>
            </w:r>
          </w:p>
        </w:tc>
      </w:tr>
      <w:tr w:rsidR="00F12DD4" w:rsidRPr="00681460" w:rsidTr="0016102F">
        <w:trPr>
          <w:trHeight w:val="35"/>
        </w:trPr>
        <w:tc>
          <w:tcPr>
            <w:tcW w:w="2073" w:type="dxa"/>
          </w:tcPr>
          <w:p w:rsidR="00F84365" w:rsidRPr="00F84365" w:rsidRDefault="0016102F" w:rsidP="00F84365">
            <w:pPr>
              <w:spacing w:after="480" w:line="218" w:lineRule="atLeast"/>
              <w:rPr>
                <w:rFonts w:ascii="Cambria" w:hAnsi="Cambria"/>
                <w:color w:val="000000"/>
                <w:w w:val="84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w w:val="84"/>
                <w:sz w:val="20"/>
                <w:szCs w:val="20"/>
              </w:rPr>
              <w:lastRenderedPageBreak/>
              <w:t>P</w:t>
            </w:r>
            <w:r w:rsidR="00F84365" w:rsidRPr="00F84365">
              <w:rPr>
                <w:rFonts w:ascii="Cambria" w:hAnsi="Cambria"/>
                <w:color w:val="000000"/>
                <w:w w:val="84"/>
                <w:sz w:val="20"/>
                <w:szCs w:val="20"/>
              </w:rPr>
              <w:t>redisposizione della concessione</w:t>
            </w:r>
          </w:p>
          <w:p w:rsidR="00F12DD4" w:rsidRPr="00F84365" w:rsidRDefault="00F12DD4" w:rsidP="00F12DD4">
            <w:pPr>
              <w:rPr>
                <w:rFonts w:ascii="Cambria" w:hAnsi="Cambria"/>
                <w:w w:val="84"/>
                <w:sz w:val="20"/>
                <w:szCs w:val="20"/>
              </w:rPr>
            </w:pPr>
          </w:p>
        </w:tc>
        <w:tc>
          <w:tcPr>
            <w:tcW w:w="3064" w:type="dxa"/>
          </w:tcPr>
          <w:p w:rsidR="00F12DD4" w:rsidRPr="00EB10AE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F12DD4" w:rsidRPr="00EB10AE" w:rsidRDefault="00F12DD4" w:rsidP="00F12DD4">
            <w:pPr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F12DD4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  <w:tr w:rsidR="00F12DD4" w:rsidRPr="00681460" w:rsidTr="00F54D3A">
        <w:tc>
          <w:tcPr>
            <w:tcW w:w="2073" w:type="dxa"/>
          </w:tcPr>
          <w:p w:rsidR="00F12DD4" w:rsidRPr="00F84365" w:rsidRDefault="0016102F" w:rsidP="0016102F">
            <w:pPr>
              <w:spacing w:after="480" w:line="218" w:lineRule="atLeast"/>
              <w:rPr>
                <w:rFonts w:ascii="Cambria" w:hAnsi="Cambria"/>
                <w:w w:val="84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w w:val="84"/>
                <w:sz w:val="20"/>
                <w:szCs w:val="20"/>
              </w:rPr>
              <w:t>C</w:t>
            </w:r>
            <w:r w:rsidR="00F84365" w:rsidRPr="0016102F">
              <w:rPr>
                <w:rFonts w:ascii="Cambria" w:hAnsi="Cambria"/>
                <w:color w:val="000000"/>
                <w:w w:val="84"/>
                <w:sz w:val="20"/>
                <w:szCs w:val="20"/>
              </w:rPr>
              <w:t>onsegna del provvedimento finale all`utente previo controllo finale</w:t>
            </w:r>
            <w:r w:rsidR="00F84365" w:rsidRPr="00F84365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064" w:type="dxa"/>
          </w:tcPr>
          <w:p w:rsidR="00F12DD4" w:rsidRDefault="00F12DD4" w:rsidP="00F12DD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94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:rsidR="00F12DD4" w:rsidRDefault="00F12DD4" w:rsidP="00F12DD4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063" w:type="dxa"/>
          </w:tcPr>
          <w:p w:rsidR="00F12DD4" w:rsidRPr="00EB10AE" w:rsidRDefault="00F12DD4" w:rsidP="00F12DD4">
            <w:pPr>
              <w:autoSpaceDE w:val="0"/>
              <w:autoSpaceDN w:val="0"/>
              <w:adjustRightInd w:val="0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0" w:type="dxa"/>
          </w:tcPr>
          <w:p w:rsidR="00F12DD4" w:rsidRDefault="00F12DD4" w:rsidP="00F12DD4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</w:tr>
    </w:tbl>
    <w:p w:rsidR="00066EC4" w:rsidRDefault="00066EC4" w:rsidP="00066EC4">
      <w:pPr>
        <w:pStyle w:val="Didascalia"/>
        <w:keepNext/>
      </w:pPr>
    </w:p>
    <w:tbl>
      <w:tblPr>
        <w:tblStyle w:val="Stile11"/>
        <w:tblpPr w:leftFromText="141" w:rightFromText="141" w:vertAnchor="text" w:horzAnchor="margin" w:tblpY="249"/>
        <w:tblW w:w="5946" w:type="dxa"/>
        <w:tblLayout w:type="fixed"/>
        <w:tblLook w:val="04A0" w:firstRow="1" w:lastRow="0" w:firstColumn="1" w:lastColumn="0" w:noHBand="0" w:noVBand="1"/>
      </w:tblPr>
      <w:tblGrid>
        <w:gridCol w:w="1410"/>
        <w:gridCol w:w="4536"/>
      </w:tblGrid>
      <w:tr w:rsidR="00066EC4" w:rsidRPr="005D2A02" w:rsidTr="00066E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50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Sigla</w:t>
            </w:r>
          </w:p>
        </w:tc>
        <w:tc>
          <w:tcPr>
            <w:tcW w:w="4476" w:type="dxa"/>
            <w:shd w:val="clear" w:color="auto" w:fill="D9D9D9" w:themeFill="background1" w:themeFillShade="D9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Tipologia di misura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Obb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obbligatoria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Org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organizzativa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Com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comportamentale</w:t>
            </w:r>
          </w:p>
        </w:tc>
      </w:tr>
      <w:tr w:rsidR="00066EC4" w:rsidRPr="005D2A02" w:rsidTr="00066EC4">
        <w:tc>
          <w:tcPr>
            <w:tcW w:w="1350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Tra</w:t>
            </w:r>
          </w:p>
        </w:tc>
        <w:tc>
          <w:tcPr>
            <w:tcW w:w="4476" w:type="dxa"/>
          </w:tcPr>
          <w:p w:rsidR="00066EC4" w:rsidRPr="005D2A02" w:rsidRDefault="00066EC4" w:rsidP="00066EC4">
            <w:pPr>
              <w:rPr>
                <w:rFonts w:ascii="Cambria" w:hAnsi="Cambria"/>
                <w:sz w:val="16"/>
                <w:szCs w:val="16"/>
              </w:rPr>
            </w:pPr>
            <w:r w:rsidRPr="005D2A02">
              <w:rPr>
                <w:rFonts w:ascii="Cambria" w:hAnsi="Cambria"/>
                <w:sz w:val="16"/>
                <w:szCs w:val="16"/>
              </w:rPr>
              <w:t>Misura trasversale</w:t>
            </w:r>
          </w:p>
        </w:tc>
      </w:tr>
    </w:tbl>
    <w:p w:rsidR="00066EC4" w:rsidRDefault="00066EC4" w:rsidP="00066EC4">
      <w:pPr>
        <w:pStyle w:val="Didascalia"/>
        <w:keepNext/>
      </w:pPr>
      <w:r>
        <w:t xml:space="preserve">Tabella </w:t>
      </w:r>
      <w:r w:rsidR="00BF2125">
        <w:fldChar w:fldCharType="begin"/>
      </w:r>
      <w:r w:rsidR="00BF2125">
        <w:instrText xml:space="preserve"> SEQ Tabella \* ARABIC </w:instrText>
      </w:r>
      <w:r w:rsidR="00BF2125">
        <w:fldChar w:fldCharType="separate"/>
      </w:r>
      <w:r w:rsidR="002E5144">
        <w:rPr>
          <w:noProof/>
        </w:rPr>
        <w:t>1</w:t>
      </w:r>
      <w:r w:rsidR="00BF2125">
        <w:rPr>
          <w:noProof/>
        </w:rPr>
        <w:fldChar w:fldCharType="end"/>
      </w:r>
      <w:r>
        <w:t xml:space="preserve"> - Legenda</w:t>
      </w:r>
    </w:p>
    <w:p w:rsidR="00D04852" w:rsidRDefault="00D04852" w:rsidP="00D04852">
      <w:pPr>
        <w:jc w:val="center"/>
      </w:pPr>
    </w:p>
    <w:sectPr w:rsidR="00D04852" w:rsidSect="003B1A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851" w:left="1134" w:header="708" w:footer="708" w:gutter="0"/>
      <w:pgBorders w:offsetFrom="page">
        <w:top w:val="single" w:sz="2" w:space="24" w:color="C00000"/>
        <w:left w:val="single" w:sz="2" w:space="24" w:color="C00000"/>
        <w:bottom w:val="single" w:sz="2" w:space="24" w:color="C00000"/>
        <w:right w:val="single" w:sz="2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125" w:rsidRDefault="00BF2125" w:rsidP="002D347A">
      <w:pPr>
        <w:spacing w:after="0" w:line="240" w:lineRule="auto"/>
      </w:pPr>
      <w:r>
        <w:separator/>
      </w:r>
    </w:p>
  </w:endnote>
  <w:endnote w:type="continuationSeparator" w:id="0">
    <w:p w:rsidR="00BF2125" w:rsidRDefault="00BF2125" w:rsidP="002D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C59" w:rsidRDefault="00F34C5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125" w:rsidRDefault="00BF2125" w:rsidP="002D347A">
      <w:pPr>
        <w:spacing w:after="0" w:line="240" w:lineRule="auto"/>
      </w:pPr>
      <w:r>
        <w:separator/>
      </w:r>
    </w:p>
  </w:footnote>
  <w:footnote w:type="continuationSeparator" w:id="0">
    <w:p w:rsidR="00BF2125" w:rsidRDefault="00BF2125" w:rsidP="002D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BF2125">
    <w:pPr>
      <w:pStyle w:val="Intestazione"/>
    </w:pPr>
    <w:sdt>
      <w:sdtPr>
        <w:id w:val="1117567785"/>
        <w:docPartObj>
          <w:docPartGallery w:val="Page Numbers (Margins)"/>
          <w:docPartUnique/>
        </w:docPartObj>
      </w:sdtPr>
      <w:sdtEndPr/>
      <w:sdtContent>
        <w:r w:rsidR="00066EC4">
          <w:rPr>
            <w:noProof/>
            <w:lang w:eastAsia="it-IT"/>
          </w:rPr>
          <mc:AlternateContent>
            <mc:Choice Requires="wpg">
              <w:drawing>
                <wp:anchor distT="0" distB="0" distL="114300" distR="114300" simplePos="0" relativeHeight="251662336" behindDoc="0" locked="0" layoutInCell="0" allowOverlap="1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20000</wp14:pctPosVOffset>
                      </wp:positionV>
                    </mc:Choice>
                    <mc:Fallback>
                      <wp:positionV relativeFrom="page">
                        <wp:posOffset>1511935</wp:posOffset>
                      </wp:positionV>
                    </mc:Fallback>
                  </mc:AlternateContent>
                  <wp:extent cx="488315" cy="237490"/>
                  <wp:effectExtent l="0" t="9525" r="0" b="10160"/>
                  <wp:wrapNone/>
                  <wp:docPr id="1" name="Grupp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315" cy="237490"/>
                            <a:chOff x="689" y="3255"/>
                            <a:chExt cx="769" cy="374"/>
                          </a:xfrm>
                        </wpg:grpSpPr>
                        <wps:wsp>
                          <wps:cNvPr id="3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9" y="3263"/>
                              <a:ext cx="769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66EC4" w:rsidRDefault="00066EC4">
                                <w:pPr>
                                  <w:pStyle w:val="Intestazion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4488D" w:rsidRPr="00E4488D">
                                  <w:rPr>
                                    <w:rStyle w:val="Numeropagina"/>
                                    <w:b/>
                                    <w:bCs/>
                                    <w:noProof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rStyle w:val="Numeropagina"/>
                                    <w:b/>
                                    <w:bCs/>
                                    <w:color w:val="7F5F00" w:themeColor="accent4" w:themeShade="7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4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886" y="3255"/>
                              <a:ext cx="374" cy="374"/>
                              <a:chOff x="1453" y="14832"/>
                              <a:chExt cx="374" cy="374"/>
                            </a:xfrm>
                          </wpg:grpSpPr>
                          <wps:wsp>
                            <wps:cNvPr id="5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3" y="14832"/>
                                <a:ext cx="374" cy="374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84A2C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Oval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" y="14835"/>
                                <a:ext cx="101" cy="10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uppo 1" o:spid="_x0000_s1026" style="position:absolute;margin-left:0;margin-top:0;width:38.45pt;height:18.7pt;z-index:251662336;mso-top-percent:200;mso-position-horizontal:center;mso-position-horizontal-relative:right-margin-area;mso-position-vertical-relative:page;mso-top-percent:200" coordorigin="689,3255" coordsize="769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" o:allowincell="f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1" o:spid="_x0000_s1027" type="#_x0000_t202" style="position:absolute;left:689;top:3263;width:76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b9MMA&#10;AADaAAAADwAAAGRycy9kb3ducmV2LnhtbESP3WrCQBSE7wu+w3KE3hSzUaF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jb9MMAAADaAAAADwAAAAAAAAAAAAAAAACYAgAAZHJzL2Rv&#10;d25yZXYueG1sUEsFBgAAAAAEAAQA9QAAAIgDAAAAAA==&#10;" filled="f" stroked="f">
                    <v:textbox inset="0,0,0,0">
                      <w:txbxContent>
                        <w:p w:rsidR="00066EC4" w:rsidRDefault="00066EC4">
                          <w:pPr>
                            <w:pStyle w:val="Intestazion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4488D" w:rsidRPr="00E4488D">
                            <w:rPr>
                              <w:rStyle w:val="Numeropagina"/>
                              <w:b/>
                              <w:bCs/>
                              <w:noProof/>
                              <w:color w:val="7F5F00" w:themeColor="accent4" w:themeShade="7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Style w:val="Numeropagina"/>
                              <w:b/>
                              <w:bCs/>
                              <w:color w:val="7F5F00" w:themeColor="accent4" w:themeShade="7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72" o:spid="_x0000_s1028" style="position:absolute;left:886;top:3255;width:374;height:374" coordorigin="1453,14832" coordsize="374,3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oval id="Oval 73" o:spid="_x0000_s1029" style="position:absolute;left:1453;top:14832;width:374;height:3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aob0A&#10;AADaAAAADwAAAGRycy9kb3ducmV2LnhtbERPTYvCMBC9C/6HMIIX0XQFV6mNIguCFw+6HjwOzdgU&#10;m0lJYq3/3ggLe3y872Lb20Z05EPtWMHXLANBXDpdc6Xg8rufrkCEiKyxcUwKXhRguxkOCsy1e/KJ&#10;unOsRArhkKMCE2ObSxlKQxbDzLXEibs5bzEm6CupPT5TuG3kPMu+pcWaU4PBln4Mlffzw6YZ1+DC&#10;9VA+cHmZm8mq99XRL5Uaj/rdGkSkPv6L/9wHrWABnyvJD3Lz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CAaob0AAADaAAAADwAAAAAAAAAAAAAAAACYAgAAZHJzL2Rvd25yZXYu&#10;eG1sUEsFBgAAAAAEAAQA9QAAAIIDAAAAAA==&#10;" filled="f" strokecolor="#84a2c6" strokeweight=".5pt"/>
                    <v:oval id="Oval 74" o:spid="_x0000_s1030" style="position:absolute;left:1462;top:14835;width:101;height: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9Iv74A&#10;AADaAAAADwAAAGRycy9kb3ducmV2LnhtbESPwQrCMBBE74L/EFbwpqkeilSjqKB4terB29qsbbHZ&#10;lCbW+vdGEDwOM/OGWaw6U4mWGldaVjAZRyCIM6tLzhWcT7vRDITzyBory6TgTQ5Wy35vgYm2Lz5S&#10;m/pcBAi7BBUU3teJlC4ryKAb25o4eHfbGPRBNrnUDb4C3FRyGkWxNFhyWCiwpm1B2SN9GgXl3k4u&#10;u016dNc23sp1ddvYy02p4aBbz0F46vw//GsftIIY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fSL++AAAA2gAAAA8AAAAAAAAAAAAAAAAAmAIAAGRycy9kb3ducmV2&#10;LnhtbFBLBQYAAAAABAAEAPUAAACDAwAAAAA=&#10;" fillcolor="#84a2c6" stroked="f"/>
                  </v:group>
                  <w10:wrap anchorx="margin" anchory="page"/>
                </v:group>
              </w:pict>
            </mc:Fallback>
          </mc:AlternateConten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92F" w:rsidRDefault="0029792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52"/>
    <w:rsid w:val="00066EC4"/>
    <w:rsid w:val="00142936"/>
    <w:rsid w:val="0016102F"/>
    <w:rsid w:val="001624AA"/>
    <w:rsid w:val="001C4D0C"/>
    <w:rsid w:val="0029792F"/>
    <w:rsid w:val="002D347A"/>
    <w:rsid w:val="002E5144"/>
    <w:rsid w:val="002E6D8E"/>
    <w:rsid w:val="00317EA9"/>
    <w:rsid w:val="00327D22"/>
    <w:rsid w:val="00333F23"/>
    <w:rsid w:val="00344685"/>
    <w:rsid w:val="003952FE"/>
    <w:rsid w:val="003B1A5B"/>
    <w:rsid w:val="00432F5E"/>
    <w:rsid w:val="00492012"/>
    <w:rsid w:val="004A02EC"/>
    <w:rsid w:val="005601FA"/>
    <w:rsid w:val="00582B87"/>
    <w:rsid w:val="005D2A02"/>
    <w:rsid w:val="00681460"/>
    <w:rsid w:val="007270FE"/>
    <w:rsid w:val="0077179E"/>
    <w:rsid w:val="007B7F56"/>
    <w:rsid w:val="00815C48"/>
    <w:rsid w:val="00827132"/>
    <w:rsid w:val="008677C4"/>
    <w:rsid w:val="008832A7"/>
    <w:rsid w:val="009A2FAF"/>
    <w:rsid w:val="009D2DC2"/>
    <w:rsid w:val="009F49D8"/>
    <w:rsid w:val="00AC43F2"/>
    <w:rsid w:val="00B8582D"/>
    <w:rsid w:val="00BA7F22"/>
    <w:rsid w:val="00BF2125"/>
    <w:rsid w:val="00D04852"/>
    <w:rsid w:val="00D153A5"/>
    <w:rsid w:val="00E260D8"/>
    <w:rsid w:val="00E4488D"/>
    <w:rsid w:val="00EB10AE"/>
    <w:rsid w:val="00F12DD4"/>
    <w:rsid w:val="00F21AB2"/>
    <w:rsid w:val="00F34C59"/>
    <w:rsid w:val="00F54D3A"/>
    <w:rsid w:val="00F8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D8A83D-25B8-4346-BC75-0CE3A1315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485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Stile1">
    <w:name w:val="Stile1"/>
    <w:basedOn w:val="TabellaWeb2"/>
    <w:uiPriority w:val="99"/>
    <w:rsid w:val="00B8582D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uiPriority w:val="99"/>
    <w:semiHidden/>
    <w:unhideWhenUsed/>
    <w:rsid w:val="00B8582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D347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D347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D347A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7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7F5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792F"/>
  </w:style>
  <w:style w:type="paragraph" w:styleId="Pidipagina">
    <w:name w:val="footer"/>
    <w:basedOn w:val="Normale"/>
    <w:link w:val="PidipaginaCarattere"/>
    <w:uiPriority w:val="99"/>
    <w:unhideWhenUsed/>
    <w:rsid w:val="002979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92F"/>
  </w:style>
  <w:style w:type="table" w:customStyle="1" w:styleId="Stile11">
    <w:name w:val="Stile11"/>
    <w:basedOn w:val="TabellaWeb2"/>
    <w:uiPriority w:val="99"/>
    <w:rsid w:val="00066EC4"/>
    <w:pPr>
      <w:spacing w:after="0" w:line="240" w:lineRule="auto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idascalia">
    <w:name w:val="caption"/>
    <w:basedOn w:val="Normale"/>
    <w:next w:val="Normale"/>
    <w:uiPriority w:val="35"/>
    <w:unhideWhenUsed/>
    <w:qFormat/>
    <w:rsid w:val="00066E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Numeroriga">
    <w:name w:val="line number"/>
    <w:basedOn w:val="Carpredefinitoparagrafo"/>
    <w:uiPriority w:val="99"/>
    <w:semiHidden/>
    <w:unhideWhenUsed/>
    <w:rsid w:val="00066EC4"/>
  </w:style>
  <w:style w:type="character" w:styleId="Numeropagina">
    <w:name w:val="page number"/>
    <w:basedOn w:val="Carpredefinitoparagrafo"/>
    <w:uiPriority w:val="99"/>
    <w:unhideWhenUsed/>
    <w:rsid w:val="00066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B77AD-6AB3-44AB-90EF-5F39F2E4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Ezio Guerci</dc:creator>
  <cp:keywords/>
  <dc:description/>
  <cp:lastModifiedBy>Melania Monaco</cp:lastModifiedBy>
  <cp:revision>10</cp:revision>
  <cp:lastPrinted>2014-01-07T14:33:00Z</cp:lastPrinted>
  <dcterms:created xsi:type="dcterms:W3CDTF">2014-01-23T11:20:00Z</dcterms:created>
  <dcterms:modified xsi:type="dcterms:W3CDTF">2014-01-24T10:27:00Z</dcterms:modified>
</cp:coreProperties>
</file>